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232" w:rsidRDefault="00C327CC" w:rsidP="00C327CC">
      <w:pPr>
        <w:jc w:val="center"/>
        <w:rPr>
          <w:b/>
        </w:rPr>
      </w:pPr>
      <w:r>
        <w:rPr>
          <w:b/>
        </w:rPr>
        <w:t>ADDITIONAL SPECTRUM IN EI – CLARIFICATION</w:t>
      </w:r>
    </w:p>
    <w:p w:rsidR="00C327CC" w:rsidRDefault="00C327CC" w:rsidP="00C327CC">
      <w:pPr>
        <w:jc w:val="center"/>
        <w:rPr>
          <w:b/>
        </w:rPr>
      </w:pPr>
    </w:p>
    <w:p w:rsidR="00C327CC" w:rsidRDefault="00C327CC" w:rsidP="00C327CC">
      <w:pPr>
        <w:jc w:val="both"/>
      </w:pPr>
      <w:r>
        <w:t xml:space="preserve">The use of AMSAT in </w:t>
      </w:r>
      <w:proofErr w:type="spellStart"/>
      <w:r>
        <w:t>ComReg</w:t>
      </w:r>
      <w:proofErr w:type="spellEnd"/>
      <w:r>
        <w:t xml:space="preserve"> Document 09/45 R4 is regrettable and is a legacy issue carried forward from earlier versions of the Amateur Station Licence Guidelines.  Most of </w:t>
      </w:r>
      <w:proofErr w:type="spellStart"/>
      <w:r>
        <w:t>ComReg’s</w:t>
      </w:r>
      <w:proofErr w:type="spellEnd"/>
      <w:r>
        <w:t xml:space="preserve"> documents are commercially sensitive and no draft documents (other than consultations) are published.  Although documents relating to amateur radio are not commercially sensitive we do fall under the non-publishing of draft documents embargo.</w:t>
      </w:r>
    </w:p>
    <w:p w:rsidR="00C327CC" w:rsidRDefault="00C327CC" w:rsidP="00C327CC">
      <w:pPr>
        <w:jc w:val="both"/>
      </w:pPr>
      <w:r>
        <w:t xml:space="preserve">The use of AMSAT somewhat randomly confuses the actual situation </w:t>
      </w:r>
      <w:r w:rsidR="00E117D7">
        <w:t>regarding satellite operation.  The frequencies in Annex1 of the Guidelines are available to all CEPT Class 1 and Class 2 licensees.  So far as satellite operation is concerned amateurs here can use the satellite segments mentioned (435-438 MHz; 1260-1270 MHz: 5650-5670 MHz –uplink and 5830-5850 MHz –downlink)</w:t>
      </w:r>
      <w:r w:rsidR="001D2BE6">
        <w:t>.  The “All modes” in</w:t>
      </w:r>
      <w:r w:rsidR="0010225D">
        <w:t xml:space="preserve"> the Modes column in Annex</w:t>
      </w:r>
      <w:r w:rsidR="001D2BE6">
        <w:t xml:space="preserve"> 1 covers the relevant operating mode for the satellite concerned.  Similarly 10450-10500 MHz can be used for satellite communications.</w:t>
      </w:r>
    </w:p>
    <w:p w:rsidR="0010225D" w:rsidRDefault="0010225D" w:rsidP="00C327CC">
      <w:pPr>
        <w:jc w:val="both"/>
      </w:pPr>
      <w:r>
        <w:t xml:space="preserve">In the Modes column of Annex 1, all modes </w:t>
      </w:r>
      <w:r w:rsidR="00B82D58">
        <w:t>are</w:t>
      </w:r>
      <w:r>
        <w:t xml:space="preserve"> indicated.  In many cases “including </w:t>
      </w:r>
      <w:proofErr w:type="spellStart"/>
      <w:r>
        <w:t>digimodes</w:t>
      </w:r>
      <w:proofErr w:type="spellEnd"/>
      <w:r>
        <w:t xml:space="preserve">” is stated but of course ‘all modes’ includes </w:t>
      </w:r>
      <w:proofErr w:type="spellStart"/>
      <w:r>
        <w:t>digimodes</w:t>
      </w:r>
      <w:proofErr w:type="spellEnd"/>
      <w:r>
        <w:t xml:space="preserve">.  In the definitions in Annex 1 </w:t>
      </w:r>
      <w:proofErr w:type="spellStart"/>
      <w:r>
        <w:t>digimodes</w:t>
      </w:r>
      <w:proofErr w:type="spellEnd"/>
      <w:r>
        <w:t xml:space="preserve"> are defined as “Any digital mode such as -----“.  So DSTAR, DMR </w:t>
      </w:r>
      <w:proofErr w:type="spellStart"/>
      <w:r>
        <w:t>etc</w:t>
      </w:r>
      <w:proofErr w:type="spellEnd"/>
      <w:r>
        <w:t xml:space="preserve"> would be included.</w:t>
      </w:r>
    </w:p>
    <w:p w:rsidR="0010225D" w:rsidRDefault="0010225D" w:rsidP="00C327CC">
      <w:pPr>
        <w:jc w:val="both"/>
      </w:pPr>
      <w:r>
        <w:t xml:space="preserve">We will of course work with </w:t>
      </w:r>
      <w:proofErr w:type="spellStart"/>
      <w:r>
        <w:t>ComReg</w:t>
      </w:r>
      <w:proofErr w:type="spellEnd"/>
      <w:r>
        <w:t xml:space="preserve"> to secure additional spectrum and facilities.  The present initiative by </w:t>
      </w:r>
      <w:proofErr w:type="spellStart"/>
      <w:r>
        <w:t>ComReg</w:t>
      </w:r>
      <w:proofErr w:type="spellEnd"/>
      <w:r>
        <w:t xml:space="preserve"> is as a result of such work by IRTS.  In this context we would hope in the future to get 2400-2450 MHz among the bands on general release.</w:t>
      </w:r>
    </w:p>
    <w:p w:rsidR="00292446" w:rsidRDefault="00292446" w:rsidP="00C327CC">
      <w:pPr>
        <w:jc w:val="both"/>
      </w:pPr>
      <w:r>
        <w:t xml:space="preserve">Finally some people are wondering why we didn’t get 52-54 </w:t>
      </w:r>
      <w:proofErr w:type="spellStart"/>
      <w:r>
        <w:t>MHz.</w:t>
      </w:r>
      <w:proofErr w:type="spellEnd"/>
      <w:r>
        <w:t xml:space="preserve">  We have of course been seeking this.  However, as you know the question of granting 52-54 MHz to Region 1 of the ITU to align with ITU Regions 2 and 3 is the subject of Agenda Item 1.1 of WRC-19.  </w:t>
      </w:r>
      <w:proofErr w:type="spellStart"/>
      <w:r>
        <w:t>ComReg</w:t>
      </w:r>
      <w:proofErr w:type="spellEnd"/>
      <w:r>
        <w:t xml:space="preserve"> will be involved in in seeking to establish a CEPT Common Position and so will not move on it before WRC-19.  If the IARU WRC-19 initiative is not successful we will seek a national allocation at 50-54 MHz under Article 4.4 of the ITU Radio Regulations.</w:t>
      </w:r>
    </w:p>
    <w:p w:rsidR="00A6605A" w:rsidRDefault="00292446" w:rsidP="00C327CC">
      <w:pPr>
        <w:jc w:val="both"/>
      </w:pPr>
      <w:r>
        <w:t xml:space="preserve">I realise that the somewhat random use of “AMSAT” and the use of “All Modes” in some places and “All </w:t>
      </w:r>
      <w:proofErr w:type="gramStart"/>
      <w:r>
        <w:t>modes including</w:t>
      </w:r>
      <w:proofErr w:type="gramEnd"/>
      <w:r>
        <w:t xml:space="preserve"> </w:t>
      </w:r>
      <w:proofErr w:type="spellStart"/>
      <w:r>
        <w:t>digimodes</w:t>
      </w:r>
      <w:proofErr w:type="spellEnd"/>
      <w:r w:rsidR="00A6605A">
        <w:t>”</w:t>
      </w:r>
      <w:r>
        <w:t xml:space="preserve"> </w:t>
      </w:r>
      <w:bookmarkStart w:id="0" w:name="_GoBack"/>
      <w:bookmarkEnd w:id="0"/>
      <w:r w:rsidR="00B82D58">
        <w:t>in others</w:t>
      </w:r>
      <w:r w:rsidR="00A6605A">
        <w:t xml:space="preserve"> can lead to confusion.  I hope my attempt to ‘clarify’ helps.</w:t>
      </w:r>
    </w:p>
    <w:p w:rsidR="00A6605A" w:rsidRDefault="00A6605A" w:rsidP="00C327CC">
      <w:pPr>
        <w:jc w:val="both"/>
      </w:pPr>
      <w:r>
        <w:t>Best regards,</w:t>
      </w:r>
    </w:p>
    <w:p w:rsidR="00A6605A" w:rsidRDefault="00A6605A" w:rsidP="00C327CC">
      <w:pPr>
        <w:jc w:val="both"/>
      </w:pPr>
      <w:proofErr w:type="spellStart"/>
      <w:r>
        <w:t>Seán</w:t>
      </w:r>
      <w:proofErr w:type="spellEnd"/>
      <w:r>
        <w:t xml:space="preserve"> Nolan EI7CD</w:t>
      </w:r>
    </w:p>
    <w:p w:rsidR="0010225D" w:rsidRDefault="00A6605A" w:rsidP="00C327CC">
      <w:pPr>
        <w:jc w:val="both"/>
      </w:pPr>
      <w:r>
        <w:t>IRTS/</w:t>
      </w:r>
      <w:proofErr w:type="spellStart"/>
      <w:r>
        <w:t>ComReg</w:t>
      </w:r>
      <w:proofErr w:type="spellEnd"/>
      <w:r>
        <w:t xml:space="preserve"> Liaison</w:t>
      </w:r>
      <w:r w:rsidR="0010225D">
        <w:t xml:space="preserve"> </w:t>
      </w:r>
    </w:p>
    <w:p w:rsidR="0010225D" w:rsidRDefault="0010225D" w:rsidP="00C327CC">
      <w:pPr>
        <w:jc w:val="both"/>
      </w:pPr>
    </w:p>
    <w:p w:rsidR="00C327CC" w:rsidRPr="00C327CC" w:rsidRDefault="00C327CC" w:rsidP="00C327CC">
      <w:pPr>
        <w:jc w:val="both"/>
      </w:pPr>
    </w:p>
    <w:p w:rsidR="00C327CC" w:rsidRPr="00C327CC" w:rsidRDefault="00C327CC">
      <w:pPr>
        <w:jc w:val="center"/>
        <w:rPr>
          <w:b/>
        </w:rPr>
      </w:pPr>
    </w:p>
    <w:sectPr w:rsidR="00C327CC" w:rsidRPr="00C327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7CC"/>
    <w:rsid w:val="0010225D"/>
    <w:rsid w:val="001D2BE6"/>
    <w:rsid w:val="00292446"/>
    <w:rsid w:val="004F2335"/>
    <w:rsid w:val="00A6605A"/>
    <w:rsid w:val="00B82D58"/>
    <w:rsid w:val="00C06232"/>
    <w:rsid w:val="00C327CC"/>
    <w:rsid w:val="00C8633B"/>
    <w:rsid w:val="00E1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Sean</dc:creator>
  <cp:lastModifiedBy>Sean</cp:lastModifiedBy>
  <cp:revision>3</cp:revision>
  <dcterms:created xsi:type="dcterms:W3CDTF">2018-05-03T17:50:00Z</dcterms:created>
  <dcterms:modified xsi:type="dcterms:W3CDTF">2018-05-04T21:01:00Z</dcterms:modified>
</cp:coreProperties>
</file>